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40" w:rsidRDefault="005E3040">
      <w:pPr>
        <w:spacing w:before="5" w:line="140" w:lineRule="exact"/>
        <w:rPr>
          <w:sz w:val="15"/>
          <w:szCs w:val="15"/>
        </w:rPr>
      </w:pPr>
      <w:bookmarkStart w:id="0" w:name="_GoBack"/>
      <w:bookmarkEnd w:id="0"/>
    </w:p>
    <w:p w:rsidR="008947A1" w:rsidRDefault="008947A1" w:rsidP="00795405">
      <w:pPr>
        <w:spacing w:before="25" w:line="246" w:lineRule="auto"/>
        <w:ind w:left="690" w:right="621"/>
        <w:jc w:val="center"/>
        <w:rPr>
          <w:rFonts w:ascii="Arial" w:eastAsia="Arial" w:hAnsi="Arial" w:cs="Arial"/>
          <w:b/>
          <w:spacing w:val="1"/>
          <w:sz w:val="28"/>
          <w:szCs w:val="28"/>
        </w:rPr>
      </w:pPr>
    </w:p>
    <w:p w:rsidR="005E3040" w:rsidRPr="00795405" w:rsidRDefault="00F65A74" w:rsidP="00795405">
      <w:pPr>
        <w:spacing w:before="25" w:line="246" w:lineRule="auto"/>
        <w:ind w:left="690" w:right="621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NF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EJE</w:t>
      </w:r>
      <w:r>
        <w:rPr>
          <w:rFonts w:ascii="Arial" w:eastAsia="Arial" w:hAnsi="Arial" w:cs="Arial"/>
          <w:b/>
          <w:spacing w:val="-1"/>
          <w:sz w:val="28"/>
          <w:szCs w:val="28"/>
        </w:rPr>
        <w:t>CUT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VO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="00AB48AE" w:rsidRPr="00AB48AE">
        <w:rPr>
          <w:rFonts w:ascii="Arial" w:eastAsia="Arial" w:hAnsi="Arial" w:cs="Arial"/>
          <w:b/>
          <w:spacing w:val="-1"/>
          <w:sz w:val="28"/>
          <w:szCs w:val="28"/>
        </w:rPr>
        <w:t xml:space="preserve">DEL FORO PERMANENTE DE INQUIETUDES DE LOS GRUPOS DE INTERES DE LA RENDICION DE CUENTAS DEL 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INSTITUTO TOLIMENSE DE FORMACIÓN TÉCNICA PROFESIONAL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–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“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>ITFIP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”</w:t>
      </w:r>
    </w:p>
    <w:p w:rsidR="005E3040" w:rsidRDefault="005E3040">
      <w:pPr>
        <w:spacing w:before="2" w:line="180" w:lineRule="exact"/>
        <w:rPr>
          <w:sz w:val="18"/>
          <w:szCs w:val="18"/>
        </w:rPr>
      </w:pPr>
    </w:p>
    <w:p w:rsidR="00795405" w:rsidRPr="005E4784" w:rsidRDefault="00AB48AE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 xml:space="preserve">APORTES </w:t>
      </w:r>
      <w:r w:rsidR="0057274F">
        <w:rPr>
          <w:rFonts w:ascii="Arial" w:eastAsia="Arial" w:hAnsi="Arial" w:cs="Arial"/>
          <w:b/>
          <w:spacing w:val="-1"/>
          <w:sz w:val="24"/>
          <w:szCs w:val="24"/>
        </w:rPr>
        <w:t xml:space="preserve">DE </w:t>
      </w:r>
      <w:r w:rsidR="00C32A98">
        <w:rPr>
          <w:rFonts w:ascii="Arial" w:eastAsia="Arial" w:hAnsi="Arial" w:cs="Arial"/>
          <w:b/>
          <w:spacing w:val="-1"/>
          <w:sz w:val="24"/>
          <w:szCs w:val="24"/>
        </w:rPr>
        <w:t xml:space="preserve">LOS GRUPOS DE </w:t>
      </w:r>
      <w:r w:rsidR="005E4784" w:rsidRPr="005E4784">
        <w:rPr>
          <w:rFonts w:ascii="Arial" w:eastAsia="Arial" w:hAnsi="Arial" w:cs="Arial"/>
          <w:b/>
          <w:spacing w:val="-1"/>
          <w:sz w:val="24"/>
          <w:szCs w:val="24"/>
        </w:rPr>
        <w:t>INTERES DEL ITFIP</w:t>
      </w:r>
      <w:r w:rsidR="0057274F">
        <w:rPr>
          <w:rFonts w:ascii="Arial" w:eastAsia="Arial" w:hAnsi="Arial" w:cs="Arial"/>
          <w:b/>
          <w:spacing w:val="-1"/>
          <w:sz w:val="24"/>
          <w:szCs w:val="24"/>
        </w:rPr>
        <w:t xml:space="preserve"> EN EL FORO DE RENDICION DE CUENTAS CON EL FIN DE TENER UNA CONSTANTE COMUNICACION SOBRE LA GESTION INSTITUCIONAL.</w:t>
      </w:r>
    </w:p>
    <w:p w:rsidR="00795405" w:rsidRDefault="00795405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57274F" w:rsidRDefault="005E4784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ITFIP, </w:t>
      </w:r>
      <w:proofErr w:type="spellStart"/>
      <w:r>
        <w:rPr>
          <w:rFonts w:ascii="Arial" w:eastAsia="Arial" w:hAnsi="Arial" w:cs="Arial"/>
          <w:sz w:val="24"/>
          <w:szCs w:val="24"/>
        </w:rPr>
        <w:t>institucion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adscrita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Ministerio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Educacion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57274F">
        <w:rPr>
          <w:rFonts w:ascii="Arial" w:eastAsia="Arial" w:hAnsi="Arial" w:cs="Arial"/>
          <w:sz w:val="24"/>
          <w:szCs w:val="24"/>
        </w:rPr>
        <w:t xml:space="preserve">genera la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estrategia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foros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permanente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que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grupos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interes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participe</w:t>
      </w:r>
      <w:r w:rsidR="0057274F">
        <w:rPr>
          <w:rFonts w:ascii="Arial" w:eastAsia="Arial" w:hAnsi="Arial" w:cs="Arial"/>
          <w:sz w:val="24"/>
          <w:szCs w:val="24"/>
        </w:rPr>
        <w:t>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proceso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rendición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cuentas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, en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donde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socializa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r w:rsidR="0057274F" w:rsidRPr="0057274F"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avance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académico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administrativo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institución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acuerdo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lineamientos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establecidos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por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normatividad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vigente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igual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forma </w:t>
      </w:r>
      <w:r w:rsidR="0057274F"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quiere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que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todos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ciudadanos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participen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ingresando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al link www.itfip.edu.co/transparencia en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donde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r w:rsidR="0057274F"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puede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encontrar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temas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interés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sobre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nuestro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compromiso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con el Ley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Transparencia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y del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Derecho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Acceso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Pública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Nacional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cumplimiento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a la Ley 1712 del 6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marzo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de 2014, </w:t>
      </w:r>
      <w:r w:rsidR="0057274F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igual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forma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esperamos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recibir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comentarios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acuerdo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informacion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publicada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en el link del</w:t>
      </w:r>
      <w:r w:rsidR="0057274F" w:rsidRPr="0057274F">
        <w:rPr>
          <w:rFonts w:ascii="Arial" w:eastAsia="Arial" w:hAnsi="Arial" w:cs="Arial"/>
          <w:sz w:val="24"/>
          <w:szCs w:val="24"/>
        </w:rPr>
        <w:t xml:space="preserve"> plan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anticorrupcion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y de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="0057274F" w:rsidRPr="0057274F">
        <w:rPr>
          <w:rFonts w:ascii="Arial" w:eastAsia="Arial" w:hAnsi="Arial" w:cs="Arial"/>
          <w:sz w:val="24"/>
          <w:szCs w:val="24"/>
        </w:rPr>
        <w:t>ciudadano</w:t>
      </w:r>
      <w:proofErr w:type="spellEnd"/>
      <w:r w:rsidR="0057274F" w:rsidRPr="0057274F">
        <w:rPr>
          <w:rFonts w:ascii="Arial" w:eastAsia="Arial" w:hAnsi="Arial" w:cs="Arial"/>
          <w:sz w:val="24"/>
          <w:szCs w:val="24"/>
        </w:rPr>
        <w:t xml:space="preserve"> </w:t>
      </w:r>
      <w:r w:rsidR="0057274F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cada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7274F">
        <w:rPr>
          <w:rFonts w:ascii="Arial" w:eastAsia="Arial" w:hAnsi="Arial" w:cs="Arial"/>
          <w:sz w:val="24"/>
          <w:szCs w:val="24"/>
        </w:rPr>
        <w:t>vigencia</w:t>
      </w:r>
      <w:proofErr w:type="spellEnd"/>
      <w:r w:rsidR="0057274F">
        <w:rPr>
          <w:rFonts w:ascii="Arial" w:eastAsia="Arial" w:hAnsi="Arial" w:cs="Arial"/>
          <w:sz w:val="24"/>
          <w:szCs w:val="24"/>
        </w:rPr>
        <w:t xml:space="preserve">. </w:t>
      </w:r>
      <w:hyperlink r:id="rId7" w:anchor="plan-anticorrupción" w:history="1">
        <w:r w:rsidR="0057274F" w:rsidRPr="00765D0F">
          <w:rPr>
            <w:rStyle w:val="Hipervnculo"/>
            <w:rFonts w:ascii="Arial" w:eastAsia="Arial" w:hAnsi="Arial" w:cs="Arial"/>
            <w:sz w:val="24"/>
            <w:szCs w:val="24"/>
          </w:rPr>
          <w:t>www.itfip.edu.co/transparencia#plan-anticorrupción</w:t>
        </w:r>
      </w:hyperlink>
    </w:p>
    <w:p w:rsidR="0057274F" w:rsidRDefault="0057274F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612833" w:rsidRDefault="0057274F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Consultando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link </w:t>
      </w:r>
      <w:hyperlink r:id="rId8" w:history="1">
        <w:r w:rsidR="00AB48AE" w:rsidRPr="00765D0F">
          <w:rPr>
            <w:rStyle w:val="Hipervnculo"/>
            <w:rFonts w:ascii="Arial" w:eastAsia="Arial" w:hAnsi="Arial" w:cs="Arial"/>
            <w:sz w:val="24"/>
            <w:szCs w:val="24"/>
          </w:rPr>
          <w:t>http://itfip.edu.co/atencion-al-ciudadano/foro/foro-rendicion-de-cuentas</w:t>
        </w:r>
      </w:hyperlink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han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recibido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aportes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eastAsia="Arial" w:hAnsi="Arial" w:cs="Arial"/>
          <w:sz w:val="24"/>
          <w:szCs w:val="24"/>
        </w:rPr>
        <w:t>ciudadanos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Andres Ramirez </w:t>
      </w:r>
      <w:proofErr w:type="spellStart"/>
      <w:r>
        <w:rPr>
          <w:rFonts w:ascii="Arial" w:eastAsia="Arial" w:hAnsi="Arial" w:cs="Arial"/>
          <w:sz w:val="24"/>
          <w:szCs w:val="24"/>
        </w:rPr>
        <w:t>quien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Muy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importante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presenten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información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y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programe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con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tiempo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para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enteremos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y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podamos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participar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”. </w:t>
      </w:r>
      <w:proofErr w:type="gramStart"/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tenido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195 </w:t>
      </w:r>
      <w:proofErr w:type="spellStart"/>
      <w:r>
        <w:rPr>
          <w:rFonts w:ascii="Arial" w:eastAsia="Arial" w:hAnsi="Arial" w:cs="Arial"/>
          <w:sz w:val="24"/>
          <w:szCs w:val="24"/>
        </w:rPr>
        <w:t>visitas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7274F" w:rsidRDefault="0057274F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57274F" w:rsidRDefault="0057274F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aportes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Carolina Valdes </w:t>
      </w:r>
      <w:proofErr w:type="spellStart"/>
      <w:r>
        <w:rPr>
          <w:rFonts w:ascii="Arial" w:eastAsia="Arial" w:hAnsi="Arial" w:cs="Arial"/>
          <w:sz w:val="24"/>
          <w:szCs w:val="24"/>
        </w:rPr>
        <w:t>quien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Es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muy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importante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tengan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en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cuenta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pues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el ITFIP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viene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avanzado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en la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gestión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académica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administrativa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y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como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ciudadanos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requerimos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cuenten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cual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es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el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avance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el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tenido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195 </w:t>
      </w:r>
      <w:proofErr w:type="spellStart"/>
      <w:r>
        <w:rPr>
          <w:rFonts w:ascii="Arial" w:eastAsia="Arial" w:hAnsi="Arial" w:cs="Arial"/>
          <w:sz w:val="24"/>
          <w:szCs w:val="24"/>
        </w:rPr>
        <w:t>visitas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A6D23" w:rsidRDefault="009A6D23" w:rsidP="00AB48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9A6D23" w:rsidRDefault="009A6D23" w:rsidP="009A6D2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 </w:t>
      </w:r>
      <w:proofErr w:type="spellStart"/>
      <w:r>
        <w:rPr>
          <w:rFonts w:ascii="Arial" w:eastAsia="Arial" w:hAnsi="Arial" w:cs="Arial"/>
          <w:sz w:val="24"/>
          <w:szCs w:val="24"/>
        </w:rPr>
        <w:t>mismo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inquietude de Carolina Prada “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Mi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aporte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es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al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revisar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el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informe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siga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fortaleciendo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investigación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y se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hagan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mas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convenios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con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alcaldías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para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que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nos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sigan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apoyando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FFFFF"/>
        </w:rPr>
        <w:t>financiera-mente</w:t>
      </w:r>
      <w:proofErr w:type="spellEnd"/>
      <w:r>
        <w:rPr>
          <w:rFonts w:ascii="Segoe UI" w:hAnsi="Segoe UI" w:cs="Segoe UI"/>
          <w:color w:val="333333"/>
          <w:shd w:val="clear" w:color="auto" w:fill="FFFFFF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” el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tenido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300 </w:t>
      </w:r>
      <w:proofErr w:type="spellStart"/>
      <w:r>
        <w:rPr>
          <w:rFonts w:ascii="Arial" w:eastAsia="Arial" w:hAnsi="Arial" w:cs="Arial"/>
          <w:sz w:val="24"/>
          <w:szCs w:val="24"/>
        </w:rPr>
        <w:t>visitas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E4784" w:rsidRDefault="005E4784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5E3040" w:rsidRDefault="00F65A74">
      <w:pPr>
        <w:spacing w:before="29"/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FIC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5E3040" w:rsidRDefault="005E3040">
      <w:pPr>
        <w:spacing w:before="16" w:line="260" w:lineRule="exact"/>
        <w:rPr>
          <w:sz w:val="26"/>
          <w:szCs w:val="26"/>
        </w:rPr>
      </w:pPr>
    </w:p>
    <w:p w:rsidR="005E3040" w:rsidRDefault="00F65A74">
      <w:pPr>
        <w:ind w:left="702" w:right="270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NAMIEN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>.</w:t>
      </w:r>
    </w:p>
    <w:p w:rsidR="009A6D23" w:rsidRDefault="00612833" w:rsidP="00612833">
      <w:pPr>
        <w:ind w:left="702" w:right="60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tecnologica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r w:rsidR="009A6D23">
        <w:rPr>
          <w:rFonts w:ascii="Arial" w:eastAsia="Arial" w:hAnsi="Arial" w:cs="Arial"/>
          <w:sz w:val="24"/>
          <w:szCs w:val="24"/>
        </w:rPr>
        <w:t>os</w:t>
      </w:r>
      <w:proofErr w:type="spellEnd"/>
      <w:r w:rsidR="009A6D23">
        <w:rPr>
          <w:rFonts w:ascii="Arial" w:eastAsia="Arial" w:hAnsi="Arial" w:cs="Arial"/>
          <w:sz w:val="24"/>
          <w:szCs w:val="24"/>
        </w:rPr>
        <w:t xml:space="preserve"> en el enlace </w:t>
      </w:r>
      <w:proofErr w:type="spellStart"/>
      <w:r w:rsidR="009A6D23">
        <w:rPr>
          <w:rFonts w:ascii="Arial" w:eastAsia="Arial" w:hAnsi="Arial" w:cs="Arial"/>
          <w:sz w:val="24"/>
          <w:szCs w:val="24"/>
        </w:rPr>
        <w:t>atencion</w:t>
      </w:r>
      <w:proofErr w:type="spellEnd"/>
      <w:r w:rsidR="009A6D23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="009A6D23">
        <w:rPr>
          <w:rFonts w:ascii="Arial" w:eastAsia="Arial" w:hAnsi="Arial" w:cs="Arial"/>
          <w:sz w:val="24"/>
          <w:szCs w:val="24"/>
        </w:rPr>
        <w:t>ciudadano</w:t>
      </w:r>
      <w:proofErr w:type="spellEnd"/>
      <w:r w:rsidR="009A6D23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Link:</w:t>
      </w:r>
    </w:p>
    <w:p w:rsidR="009A6D23" w:rsidRDefault="00126C60" w:rsidP="00612833">
      <w:pPr>
        <w:ind w:left="702" w:right="600"/>
        <w:jc w:val="both"/>
        <w:rPr>
          <w:rFonts w:ascii="Arial" w:eastAsia="Arial" w:hAnsi="Arial" w:cs="Arial"/>
          <w:sz w:val="24"/>
          <w:szCs w:val="24"/>
        </w:rPr>
      </w:pPr>
      <w:hyperlink r:id="rId9" w:history="1">
        <w:r w:rsidR="009A6D23" w:rsidRPr="00765D0F">
          <w:rPr>
            <w:rStyle w:val="Hipervnculo"/>
            <w:rFonts w:ascii="Arial" w:eastAsia="Arial" w:hAnsi="Arial" w:cs="Arial"/>
            <w:sz w:val="24"/>
            <w:szCs w:val="24"/>
          </w:rPr>
          <w:t>http://itfip.edu.co/atencion-al-ciudadano/foro</w:t>
        </w:r>
      </w:hyperlink>
    </w:p>
    <w:p w:rsidR="009A6D23" w:rsidRDefault="009A6D23" w:rsidP="00612833">
      <w:pPr>
        <w:ind w:left="702" w:right="600"/>
        <w:jc w:val="both"/>
        <w:rPr>
          <w:rFonts w:ascii="Arial" w:eastAsia="Arial" w:hAnsi="Arial" w:cs="Arial"/>
          <w:sz w:val="24"/>
          <w:szCs w:val="24"/>
        </w:rPr>
      </w:pPr>
    </w:p>
    <w:p w:rsidR="009A04A1" w:rsidRDefault="00612833" w:rsidP="00612833">
      <w:pPr>
        <w:ind w:left="702" w:right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A6D23" w:rsidRDefault="009A6D23" w:rsidP="00612833">
      <w:pPr>
        <w:ind w:left="702" w:right="600"/>
        <w:jc w:val="both"/>
        <w:rPr>
          <w:rFonts w:ascii="Arial" w:eastAsia="Arial" w:hAnsi="Arial" w:cs="Arial"/>
          <w:sz w:val="24"/>
          <w:szCs w:val="24"/>
        </w:rPr>
      </w:pPr>
    </w:p>
    <w:sectPr w:rsidR="009A6D23" w:rsidSect="006B1F0A">
      <w:headerReference w:type="default" r:id="rId10"/>
      <w:pgSz w:w="12240" w:h="15840"/>
      <w:pgMar w:top="1780" w:right="758" w:bottom="280" w:left="1000" w:header="546" w:footer="1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60" w:rsidRDefault="00126C60">
      <w:r>
        <w:separator/>
      </w:r>
    </w:p>
  </w:endnote>
  <w:endnote w:type="continuationSeparator" w:id="0">
    <w:p w:rsidR="00126C60" w:rsidRDefault="0012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60" w:rsidRDefault="00126C60">
      <w:r>
        <w:separator/>
      </w:r>
    </w:p>
  </w:footnote>
  <w:footnote w:type="continuationSeparator" w:id="0">
    <w:p w:rsidR="00126C60" w:rsidRDefault="0012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E0" w:rsidRDefault="00126C6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6.05pt;margin-top:27.3pt;width:78.35pt;height:77.6pt;z-index:-25165619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0" style="position:absolute;margin-left:157.95pt;margin-top:52.8pt;width:334.65pt;height:0;z-index:-251655168;mso-position-horizontal-relative:page;mso-position-vertical-relative:page" coordorigin="3159,1056" coordsize="6693,0">
          <v:shape id="_x0000_s2051" style="position:absolute;left:3159;top:1056;width:6693;height:0" coordorigin="3159,1056" coordsize="6693,0" path="m3159,1056r6693,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2pt;margin-top:39.55pt;width:280.25pt;height:44.75pt;z-index:-251654144;mso-position-horizontal-relative:page;mso-position-vertical-relative:page" filled="f" stroked="f">
          <v:textbox style="mso-next-textbox:#_x0000_s2049" inset="0,0,0,0">
            <w:txbxContent>
              <w:p w:rsidR="000629E0" w:rsidRDefault="000629E0">
                <w:pPr>
                  <w:spacing w:line="260" w:lineRule="exact"/>
                  <w:ind w:left="97" w:right="189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ITFI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”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UC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EDUC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SUPER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R</w:t>
                </w:r>
              </w:p>
              <w:p w:rsidR="000629E0" w:rsidRDefault="000629E0">
                <w:pPr>
                  <w:spacing w:line="200" w:lineRule="exact"/>
                  <w:ind w:left="-16" w:right="-1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ablecimien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públic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adsc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l 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inis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ducació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aciona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</w:t>
                </w:r>
                <w:proofErr w:type="spellEnd"/>
              </w:p>
              <w:p w:rsidR="000629E0" w:rsidRDefault="000629E0">
                <w:pPr>
                  <w:spacing w:before="2" w:line="200" w:lineRule="exact"/>
                  <w:ind w:left="1913" w:right="211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NIT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800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173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719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.0 </w:t>
                </w:r>
                <w:hyperlink r:id="rId2">
                  <w:r>
                    <w:rPr>
                      <w:rFonts w:ascii="Arial" w:eastAsia="Arial" w:hAnsi="Arial" w:cs="Arial"/>
                      <w:color w:val="0000FF"/>
                      <w:spacing w:val="-3"/>
                      <w:sz w:val="18"/>
                      <w:szCs w:val="18"/>
                      <w:u w:val="single" w:color="0000FF"/>
                    </w:rPr>
                    <w:t>www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t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fip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edu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o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6A96"/>
    <w:multiLevelType w:val="multilevel"/>
    <w:tmpl w:val="88A0C8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CE7C2C"/>
    <w:multiLevelType w:val="hybridMultilevel"/>
    <w:tmpl w:val="D3C85112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19533804"/>
    <w:multiLevelType w:val="hybridMultilevel"/>
    <w:tmpl w:val="64DCC44E"/>
    <w:lvl w:ilvl="0" w:tplc="2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755BF9"/>
    <w:multiLevelType w:val="hybridMultilevel"/>
    <w:tmpl w:val="30AA755E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>
    <w:nsid w:val="531D34F7"/>
    <w:multiLevelType w:val="hybridMultilevel"/>
    <w:tmpl w:val="319C7EAA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54AB5E0F"/>
    <w:multiLevelType w:val="hybridMultilevel"/>
    <w:tmpl w:val="48AC4F34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>
    <w:nsid w:val="5F452609"/>
    <w:multiLevelType w:val="hybridMultilevel"/>
    <w:tmpl w:val="D8060544"/>
    <w:lvl w:ilvl="0" w:tplc="240A000D">
      <w:start w:val="1"/>
      <w:numFmt w:val="bullet"/>
      <w:lvlText w:val=""/>
      <w:lvlJc w:val="left"/>
      <w:pPr>
        <w:ind w:left="21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7">
    <w:nsid w:val="797004BE"/>
    <w:multiLevelType w:val="hybridMultilevel"/>
    <w:tmpl w:val="E38029FC"/>
    <w:lvl w:ilvl="0" w:tplc="240A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7A4D202D"/>
    <w:multiLevelType w:val="hybridMultilevel"/>
    <w:tmpl w:val="23640FB4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40"/>
    <w:rsid w:val="000260AE"/>
    <w:rsid w:val="00043A96"/>
    <w:rsid w:val="00046258"/>
    <w:rsid w:val="000629E0"/>
    <w:rsid w:val="00071E38"/>
    <w:rsid w:val="000F41BF"/>
    <w:rsid w:val="0012699B"/>
    <w:rsid w:val="00126C60"/>
    <w:rsid w:val="00194F8A"/>
    <w:rsid w:val="001A1FAA"/>
    <w:rsid w:val="00245660"/>
    <w:rsid w:val="002762C2"/>
    <w:rsid w:val="00344B0E"/>
    <w:rsid w:val="003F487F"/>
    <w:rsid w:val="004D616F"/>
    <w:rsid w:val="004E24D8"/>
    <w:rsid w:val="0055450A"/>
    <w:rsid w:val="0057274F"/>
    <w:rsid w:val="005E3040"/>
    <w:rsid w:val="005E4784"/>
    <w:rsid w:val="00612833"/>
    <w:rsid w:val="0064030B"/>
    <w:rsid w:val="006B1F0A"/>
    <w:rsid w:val="006F7867"/>
    <w:rsid w:val="00705F94"/>
    <w:rsid w:val="00706AF9"/>
    <w:rsid w:val="007116BB"/>
    <w:rsid w:val="007611AD"/>
    <w:rsid w:val="00795405"/>
    <w:rsid w:val="007A4C9E"/>
    <w:rsid w:val="007B2340"/>
    <w:rsid w:val="007C45B5"/>
    <w:rsid w:val="00890410"/>
    <w:rsid w:val="008947A1"/>
    <w:rsid w:val="008D1C50"/>
    <w:rsid w:val="00932496"/>
    <w:rsid w:val="009361EF"/>
    <w:rsid w:val="00983DCA"/>
    <w:rsid w:val="009856DE"/>
    <w:rsid w:val="009A04A1"/>
    <w:rsid w:val="009A6D23"/>
    <w:rsid w:val="009F5DEE"/>
    <w:rsid w:val="00A05AE0"/>
    <w:rsid w:val="00A25E08"/>
    <w:rsid w:val="00AB48AE"/>
    <w:rsid w:val="00B41533"/>
    <w:rsid w:val="00B63632"/>
    <w:rsid w:val="00B65016"/>
    <w:rsid w:val="00B721D4"/>
    <w:rsid w:val="00C21453"/>
    <w:rsid w:val="00C32A98"/>
    <w:rsid w:val="00C429E3"/>
    <w:rsid w:val="00CC6E7B"/>
    <w:rsid w:val="00CD5CA8"/>
    <w:rsid w:val="00D01645"/>
    <w:rsid w:val="00D1238A"/>
    <w:rsid w:val="00D274FB"/>
    <w:rsid w:val="00DE7581"/>
    <w:rsid w:val="00E0464F"/>
    <w:rsid w:val="00EE05FF"/>
    <w:rsid w:val="00F04D40"/>
    <w:rsid w:val="00F21ED0"/>
    <w:rsid w:val="00F516B4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1A082CDF-911E-41B3-8EAA-3C29A05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1283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A0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04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fip.edu.co/atencion-al-ciudadano/foro/foro-rendicion-de-cuent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fip.edu.co/transparenc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tfip.edu.co/atencion-al-ciudadano/fo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fip.edu.co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ITFIP</dc:creator>
  <cp:lastModifiedBy>ITFIP</cp:lastModifiedBy>
  <cp:revision>2</cp:revision>
  <dcterms:created xsi:type="dcterms:W3CDTF">2018-01-29T20:12:00Z</dcterms:created>
  <dcterms:modified xsi:type="dcterms:W3CDTF">2018-01-29T20:12:00Z</dcterms:modified>
</cp:coreProperties>
</file>